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7C" w:rsidRDefault="003E3A7C" w:rsidP="003E3A7C">
      <w:pPr>
        <w:jc w:val="right"/>
      </w:pPr>
      <w:r w:rsidRPr="00813BA2">
        <w:rPr>
          <w:noProof/>
          <w:lang w:eastAsia="pl-PL"/>
        </w:rPr>
        <w:drawing>
          <wp:inline distT="0" distB="0" distL="0" distR="0" wp14:anchorId="29D57C08" wp14:editId="7E041931">
            <wp:extent cx="1697127" cy="629408"/>
            <wp:effectExtent l="19050" t="0" r="17780" b="227965"/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72" cy="6338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B12B5E" w:rsidRPr="001F4C9D" w:rsidRDefault="003E3A7C" w:rsidP="00587708">
      <w:pPr>
        <w:rPr>
          <w:rFonts w:cstheme="minorHAnsi"/>
        </w:rPr>
      </w:pPr>
      <w:r w:rsidRPr="001F4C9D">
        <w:rPr>
          <w:rFonts w:cstheme="minorHAnsi"/>
          <w:b/>
        </w:rPr>
        <w:t>Szkolenie:</w:t>
      </w:r>
      <w:r w:rsidRPr="001F4C9D">
        <w:rPr>
          <w:rFonts w:cstheme="minorHAnsi"/>
        </w:rPr>
        <w:t xml:space="preserve"> </w:t>
      </w:r>
      <w:r w:rsidR="00B12B5E" w:rsidRPr="001F4C9D">
        <w:rPr>
          <w:rFonts w:cstheme="minorHAnsi"/>
        </w:rPr>
        <w:t>Auditor Wiodący Systemu Zarządzania Środowiskowego wg wymagań normy PN-EN ISO 14001:2015</w:t>
      </w:r>
    </w:p>
    <w:p w:rsidR="00417730" w:rsidRPr="001F4C9D" w:rsidRDefault="007F0480">
      <w:pPr>
        <w:rPr>
          <w:rFonts w:cstheme="minorHAnsi"/>
        </w:rPr>
      </w:pPr>
      <w:bookmarkStart w:id="0" w:name="_GoBack"/>
      <w:bookmarkEnd w:id="0"/>
      <w:r w:rsidRPr="001F4C9D">
        <w:rPr>
          <w:rFonts w:cstheme="minorHAnsi"/>
          <w:b/>
        </w:rPr>
        <w:t>Cena obejmuje:</w:t>
      </w:r>
      <w:r w:rsidRPr="001F4C9D">
        <w:rPr>
          <w:rFonts w:cstheme="minorHAnsi"/>
          <w:i/>
        </w:rPr>
        <w:t xml:space="preserve"> </w:t>
      </w:r>
      <w:r w:rsidRPr="001F4C9D">
        <w:rPr>
          <w:rFonts w:cstheme="minorHAnsi"/>
        </w:rPr>
        <w:t xml:space="preserve">czas pracy trenera, materiały szkoleniowe </w:t>
      </w:r>
      <w:r w:rsidR="00B12B5E" w:rsidRPr="001F4C9D">
        <w:rPr>
          <w:rFonts w:cstheme="minorHAnsi"/>
        </w:rPr>
        <w:t xml:space="preserve">w formie elektronicznej </w:t>
      </w:r>
      <w:r w:rsidRPr="001F4C9D">
        <w:rPr>
          <w:rFonts w:cstheme="minorHAnsi"/>
        </w:rPr>
        <w:t xml:space="preserve">oraz certyfikat w formie </w:t>
      </w:r>
      <w:r w:rsidR="00B12B5E" w:rsidRPr="001F4C9D">
        <w:rPr>
          <w:rFonts w:cstheme="minorHAnsi"/>
        </w:rPr>
        <w:t>papierowej</w:t>
      </w:r>
    </w:p>
    <w:p w:rsidR="00A24185" w:rsidRPr="001F4C9D" w:rsidRDefault="00A24185">
      <w:pPr>
        <w:rPr>
          <w:rFonts w:cstheme="minorHAnsi"/>
          <w:b/>
        </w:rPr>
      </w:pPr>
      <w:r w:rsidRPr="001F4C9D">
        <w:rPr>
          <w:rFonts w:cstheme="minorHAnsi"/>
          <w:b/>
        </w:rPr>
        <w:t>Profil uczestnika:</w:t>
      </w:r>
    </w:p>
    <w:p w:rsidR="00A24185" w:rsidRPr="001F4C9D" w:rsidRDefault="00A24185" w:rsidP="00A241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1F4C9D">
        <w:rPr>
          <w:rFonts w:cstheme="minorHAnsi"/>
        </w:rPr>
        <w:t>Kierownictwo i pełnomocnicy nadzorujący system zarządzania środowiskowego;</w:t>
      </w:r>
    </w:p>
    <w:p w:rsidR="001F4C9D" w:rsidRPr="001F4C9D" w:rsidRDefault="001F4C9D" w:rsidP="00A241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1F4C9D">
        <w:rPr>
          <w:rFonts w:cstheme="minorHAnsi"/>
        </w:rPr>
        <w:t>Auditorzy zewnętrzni pracujący dla jednostek certyfikujących</w:t>
      </w:r>
    </w:p>
    <w:p w:rsidR="00A24185" w:rsidRPr="001F4C9D" w:rsidRDefault="00A24185" w:rsidP="00A241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1F4C9D">
        <w:rPr>
          <w:rFonts w:cstheme="minorHAnsi"/>
        </w:rPr>
        <w:t>Osoby, które chcą rozwijać swoją wiedzę i umiejętności w obszarze Systemu Zarządzania Środowiskowego;</w:t>
      </w:r>
    </w:p>
    <w:p w:rsidR="00A24185" w:rsidRPr="001F4C9D" w:rsidRDefault="00A24185" w:rsidP="00A241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1F4C9D">
        <w:rPr>
          <w:rFonts w:cstheme="minorHAnsi"/>
        </w:rPr>
        <w:t>Konsultanci pomagający wdrażać system zarządzania środowiskowego</w:t>
      </w:r>
    </w:p>
    <w:p w:rsidR="00A24185" w:rsidRPr="001F4C9D" w:rsidRDefault="00A24185" w:rsidP="00A241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A24185">
        <w:rPr>
          <w:rFonts w:eastAsia="Times New Roman" w:cstheme="minorHAnsi"/>
          <w:lang w:eastAsia="pl-PL"/>
        </w:rPr>
        <w:t xml:space="preserve">Osoby zainteresowane uzyskaniem kwalifikacji uprawniających do przeprowadzenia </w:t>
      </w:r>
      <w:proofErr w:type="spellStart"/>
      <w:r w:rsidRPr="00A24185">
        <w:rPr>
          <w:rFonts w:eastAsia="Times New Roman" w:cstheme="minorHAnsi"/>
          <w:lang w:eastAsia="pl-PL"/>
        </w:rPr>
        <w:t>auditów</w:t>
      </w:r>
      <w:proofErr w:type="spellEnd"/>
      <w:r w:rsidRPr="00A24185">
        <w:rPr>
          <w:rFonts w:eastAsia="Times New Roman" w:cstheme="minorHAnsi"/>
          <w:lang w:eastAsia="pl-PL"/>
        </w:rPr>
        <w:t xml:space="preserve"> drugiej czy trzeciej strony</w:t>
      </w:r>
    </w:p>
    <w:p w:rsidR="001F4C9D" w:rsidRPr="001F4C9D" w:rsidRDefault="007F0480" w:rsidP="001F4C9D">
      <w:pPr>
        <w:jc w:val="both"/>
        <w:rPr>
          <w:rFonts w:eastAsia="Times New Roman" w:cstheme="minorHAnsi"/>
          <w:b/>
          <w:lang w:eastAsia="pl-PL"/>
        </w:rPr>
      </w:pPr>
      <w:r w:rsidRPr="001F4C9D">
        <w:rPr>
          <w:rFonts w:eastAsia="Times New Roman" w:cstheme="minorHAnsi"/>
          <w:b/>
          <w:lang w:eastAsia="pl-PL"/>
        </w:rPr>
        <w:t>Cel szkolenia:</w:t>
      </w:r>
      <w:r w:rsidR="001F4C9D">
        <w:rPr>
          <w:rFonts w:eastAsia="Times New Roman" w:cstheme="minorHAnsi"/>
          <w:b/>
          <w:lang w:eastAsia="pl-PL"/>
        </w:rPr>
        <w:t xml:space="preserve"> </w:t>
      </w:r>
      <w:r w:rsidR="001F4C9D">
        <w:rPr>
          <w:rFonts w:eastAsia="Times New Roman" w:cstheme="minorHAnsi"/>
          <w:lang w:eastAsia="pl-PL"/>
        </w:rPr>
        <w:t>P</w:t>
      </w:r>
      <w:r w:rsidR="001F4C9D" w:rsidRPr="00A24185">
        <w:rPr>
          <w:rFonts w:eastAsia="Times New Roman" w:cstheme="minorHAnsi"/>
          <w:lang w:eastAsia="pl-PL"/>
        </w:rPr>
        <w:t xml:space="preserve">rzekazanie uczestnikom wiedzy i umiejętności niezbędnych do prowadzenia </w:t>
      </w:r>
      <w:proofErr w:type="spellStart"/>
      <w:r w:rsidR="001F4C9D" w:rsidRPr="00A24185">
        <w:rPr>
          <w:rFonts w:eastAsia="Times New Roman" w:cstheme="minorHAnsi"/>
          <w:lang w:eastAsia="pl-PL"/>
        </w:rPr>
        <w:t>auditów</w:t>
      </w:r>
      <w:proofErr w:type="spellEnd"/>
      <w:r w:rsidR="001F4C9D" w:rsidRPr="00A24185">
        <w:rPr>
          <w:rFonts w:eastAsia="Times New Roman" w:cstheme="minorHAnsi"/>
          <w:lang w:eastAsia="pl-PL"/>
        </w:rPr>
        <w:t xml:space="preserve"> systemów zarządzania środowiskowego wg wymagań </w:t>
      </w:r>
      <w:r w:rsidR="001F4C9D" w:rsidRPr="001F4C9D">
        <w:rPr>
          <w:rFonts w:eastAsia="Times New Roman" w:cstheme="minorHAnsi"/>
          <w:lang w:eastAsia="pl-PL"/>
        </w:rPr>
        <w:t xml:space="preserve">PN-EN </w:t>
      </w:r>
      <w:r w:rsidR="001F4C9D" w:rsidRPr="00A24185">
        <w:rPr>
          <w:rFonts w:eastAsia="Times New Roman" w:cstheme="minorHAnsi"/>
          <w:lang w:eastAsia="pl-PL"/>
        </w:rPr>
        <w:t xml:space="preserve">ISO 14001:2015 w zgodności z </w:t>
      </w:r>
      <w:r w:rsidR="001F4C9D" w:rsidRPr="001F4C9D">
        <w:rPr>
          <w:rFonts w:eastAsia="Times New Roman" w:cstheme="minorHAnsi"/>
          <w:lang w:eastAsia="pl-PL"/>
        </w:rPr>
        <w:t>PN-EN ISO 19011: 2018</w:t>
      </w:r>
      <w:r w:rsidR="001F4C9D" w:rsidRPr="00A24185">
        <w:rPr>
          <w:rFonts w:eastAsia="Times New Roman" w:cstheme="minorHAnsi"/>
          <w:lang w:eastAsia="pl-PL"/>
        </w:rPr>
        <w:t xml:space="preserve">. </w:t>
      </w:r>
    </w:p>
    <w:p w:rsidR="00A24185" w:rsidRPr="001F4C9D" w:rsidRDefault="001F4C9D" w:rsidP="001F4C9D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1F4C9D">
        <w:rPr>
          <w:rFonts w:eastAsia="Times New Roman" w:cstheme="minorHAnsi"/>
          <w:b/>
          <w:lang w:eastAsia="pl-PL"/>
        </w:rPr>
        <w:t>Program: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"/>
        <w:gridCol w:w="1206"/>
        <w:gridCol w:w="7188"/>
      </w:tblGrid>
      <w:tr w:rsidR="001F4C9D" w:rsidRPr="001F4C9D" w:rsidTr="001F4C9D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1F4C9D" w:rsidRPr="001F4C9D" w:rsidRDefault="001F4C9D" w:rsidP="001F4C9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DZIEŃ 1 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4C9D" w:rsidRPr="001F4C9D" w:rsidTr="001F4C9D">
        <w:tc>
          <w:tcPr>
            <w:tcW w:w="895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godziny</w:t>
            </w:r>
          </w:p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od – do</w:t>
            </w:r>
          </w:p>
        </w:tc>
        <w:tc>
          <w:tcPr>
            <w:tcW w:w="943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Ilość godzin wykładowych</w:t>
            </w:r>
          </w:p>
        </w:tc>
        <w:tc>
          <w:tcPr>
            <w:tcW w:w="7224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zakres</w:t>
            </w:r>
          </w:p>
        </w:tc>
      </w:tr>
      <w:tr w:rsidR="001F4C9D" w:rsidRPr="001F4C9D" w:rsidTr="005F256D">
        <w:tc>
          <w:tcPr>
            <w:tcW w:w="8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9:00 – 9:45 </w:t>
            </w:r>
          </w:p>
        </w:tc>
        <w:tc>
          <w:tcPr>
            <w:tcW w:w="943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224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Powitanie Uczestników. Przedstawienie uczestników. Wprowadzenie do szkolenia: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Cele i czynniki sukcesu systemu zarządzania środowiskowego (*SZŚ)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Model PDCA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Zakres i struktura normy ISO 14001:2015 </w:t>
            </w:r>
          </w:p>
        </w:tc>
      </w:tr>
      <w:tr w:rsidR="001F4C9D" w:rsidRPr="001F4C9D" w:rsidTr="005F256D">
        <w:tc>
          <w:tcPr>
            <w:tcW w:w="8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9:45 – 10:30 </w:t>
            </w:r>
          </w:p>
        </w:tc>
        <w:tc>
          <w:tcPr>
            <w:tcW w:w="943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224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Wymagania i wytyczne normy ISO 14001: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Zrozumienie organizacji i jej kontekstu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Zrozumienie potrzeb i oczekiwań stron zainteresowanych w SZŚ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Określenie zakresu SZŚ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SZŚ – podejście procesowe </w:t>
            </w:r>
          </w:p>
        </w:tc>
      </w:tr>
      <w:tr w:rsidR="001F4C9D" w:rsidRPr="001F4C9D" w:rsidTr="005F256D">
        <w:tc>
          <w:tcPr>
            <w:tcW w:w="8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10:45 – 12:15</w:t>
            </w:r>
          </w:p>
        </w:tc>
        <w:tc>
          <w:tcPr>
            <w:tcW w:w="943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224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Wymagania  i wytyczne normy ISO 14001: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Przywództwo i zaangażowanie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Polityka środowiskowa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Role, odpowiedzialności i uprawnienia w organizacji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Działania odnoszące się do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ryzyk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i szans (Aspekty środowiskowe, Zobowiązania dotyczące zgodności, Planowanie działań)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Cele środowiskowe i planowanie ich osiągnięcia </w:t>
            </w:r>
          </w:p>
        </w:tc>
      </w:tr>
      <w:tr w:rsidR="001F4C9D" w:rsidRPr="001F4C9D" w:rsidTr="005F256D">
        <w:tc>
          <w:tcPr>
            <w:tcW w:w="8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12:30 – 14:00 </w:t>
            </w:r>
          </w:p>
        </w:tc>
        <w:tc>
          <w:tcPr>
            <w:tcW w:w="943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224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Wymagania  i wytyczne normy ISO 14001: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Zasoby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Kompetencje i świadomość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Komunikacja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Nadzór nad udokumentowanymi informacjami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Działania operacyjne </w:t>
            </w:r>
          </w:p>
        </w:tc>
      </w:tr>
      <w:tr w:rsidR="001F4C9D" w:rsidRPr="001F4C9D" w:rsidTr="005F256D">
        <w:tc>
          <w:tcPr>
            <w:tcW w:w="8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14:30 – 15:15</w:t>
            </w:r>
          </w:p>
        </w:tc>
        <w:tc>
          <w:tcPr>
            <w:tcW w:w="943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224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Wymagania i wytyczne normy ISO 14001: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Monitorowanie i pomiary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Analiza i ocena efektów działalności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wewnętrzny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Przegląd SZŚ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Niezgodności i działania korygujące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Doskonalenie SZŚ  </w:t>
            </w:r>
          </w:p>
        </w:tc>
      </w:tr>
      <w:tr w:rsidR="001F4C9D" w:rsidRPr="001F4C9D" w:rsidTr="005F256D">
        <w:tc>
          <w:tcPr>
            <w:tcW w:w="8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lastRenderedPageBreak/>
              <w:t>15:15 – 16:00</w:t>
            </w:r>
          </w:p>
        </w:tc>
        <w:tc>
          <w:tcPr>
            <w:tcW w:w="943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224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Mierniki systemu zarządzania środowiskowego (EPI, MPI, OPI, EPE):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wybór wskaźników,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gromadzenie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analiza danych,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ocenę informacji w odniesieniu do kryteriów efektów działalności środowiskowej. </w:t>
            </w:r>
          </w:p>
        </w:tc>
      </w:tr>
    </w:tbl>
    <w:p w:rsidR="001F4C9D" w:rsidRPr="001F4C9D" w:rsidRDefault="001F4C9D" w:rsidP="001F4C9D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036"/>
      </w:tblGrid>
      <w:tr w:rsidR="001F4C9D" w:rsidRPr="001F4C9D" w:rsidTr="001F4C9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DZIEŃ 2 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4C9D" w:rsidRPr="001F4C9D" w:rsidTr="001F4C9D">
        <w:tc>
          <w:tcPr>
            <w:tcW w:w="817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godziny</w:t>
            </w:r>
          </w:p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od – do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Ilość godzin wykładowych</w:t>
            </w:r>
          </w:p>
        </w:tc>
        <w:tc>
          <w:tcPr>
            <w:tcW w:w="7036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zakres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9:00 – 9:45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36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Zasady audytowania wg normy ISO 19011:2018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Rodzaje i poziomy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auditów</w:t>
            </w:r>
            <w:proofErr w:type="spellEnd"/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Kompetencje auditorów  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9:45 – 10:30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36" w:type="dxa"/>
          </w:tcPr>
          <w:p w:rsidR="001F4C9D" w:rsidRPr="001F4C9D" w:rsidRDefault="001F4C9D" w:rsidP="005F256D">
            <w:pPr>
              <w:spacing w:after="20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Zarządzanie programem (harmonogramem)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auditów</w:t>
            </w:r>
            <w:proofErr w:type="spellEnd"/>
          </w:p>
          <w:p w:rsidR="001F4C9D" w:rsidRPr="001F4C9D" w:rsidRDefault="001F4C9D" w:rsidP="005F256D">
            <w:pPr>
              <w:spacing w:after="20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color w:val="2C363A"/>
                <w:sz w:val="18"/>
                <w:szCs w:val="18"/>
              </w:rPr>
              <w:t xml:space="preserve">- Zarządzanie </w:t>
            </w:r>
            <w:proofErr w:type="spellStart"/>
            <w:r w:rsidRPr="001F4C9D">
              <w:rPr>
                <w:rFonts w:cstheme="minorHAnsi"/>
                <w:color w:val="2C363A"/>
                <w:sz w:val="18"/>
                <w:szCs w:val="18"/>
              </w:rPr>
              <w:t>auditem</w:t>
            </w:r>
            <w:proofErr w:type="spellEnd"/>
            <w:r w:rsidRPr="001F4C9D">
              <w:rPr>
                <w:rFonts w:cstheme="minorHAnsi"/>
                <w:color w:val="2C363A"/>
                <w:sz w:val="18"/>
                <w:szCs w:val="18"/>
              </w:rPr>
              <w:t xml:space="preserve"> i zespołem auditorów 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10:45 – 12:15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36" w:type="dxa"/>
          </w:tcPr>
          <w:p w:rsidR="001F4C9D" w:rsidRPr="001F4C9D" w:rsidRDefault="001F4C9D" w:rsidP="005F256D">
            <w:pPr>
              <w:spacing w:after="20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Techniki audytowania (w tym: przegląd dokumentacji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auditowej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>)</w:t>
            </w:r>
          </w:p>
          <w:p w:rsidR="001F4C9D" w:rsidRPr="001F4C9D" w:rsidRDefault="001F4C9D" w:rsidP="005F256D">
            <w:pPr>
              <w:spacing w:after="20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Przeprowadzanie działań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auditowych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(w tym m.in.: wybór źródeł informacji /  weryfikowanie informacji  i pobieranie próbek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auditowych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/ prowadzenie wywiadów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auditowych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) 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12:30 – 14:00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36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Sesja ćwiczeniowa dotycząca audytowania zgodności / audytowania w odniesieniu do wymagań normy ISO 14001:2015 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14:30 – 16:00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36" w:type="dxa"/>
          </w:tcPr>
          <w:p w:rsidR="001F4C9D" w:rsidRPr="001F4C9D" w:rsidRDefault="001F4C9D" w:rsidP="005F256D">
            <w:pPr>
              <w:spacing w:after="20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Zamykanie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auditu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i raportowanie wyników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auditu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wewnętrznego</w:t>
            </w:r>
          </w:p>
          <w:p w:rsidR="001F4C9D" w:rsidRPr="001F4C9D" w:rsidRDefault="001F4C9D" w:rsidP="005F256D">
            <w:pPr>
              <w:spacing w:after="20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Rekapitulacja zagadnień tematycznych i podsumowanie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Ćwiczenie w ramach oceny ciągłej  </w:t>
            </w:r>
          </w:p>
        </w:tc>
      </w:tr>
    </w:tbl>
    <w:p w:rsidR="001F4C9D" w:rsidRPr="001F4C9D" w:rsidRDefault="001F4C9D" w:rsidP="001F4C9D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7195"/>
      </w:tblGrid>
      <w:tr w:rsidR="001F4C9D" w:rsidRPr="001F4C9D" w:rsidTr="001F4C9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DZIEŃ 3 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4C9D" w:rsidRPr="001F4C9D" w:rsidTr="001F4C9D">
        <w:tc>
          <w:tcPr>
            <w:tcW w:w="817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godziny</w:t>
            </w:r>
          </w:p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od – do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Ilość godzin wykładowych</w:t>
            </w:r>
          </w:p>
        </w:tc>
        <w:tc>
          <w:tcPr>
            <w:tcW w:w="7195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zakres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9:00 – 10:30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Zagadnienia prawne związane z SZŚ – wprowadzenie i definicje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Aspekty środowiskowe: 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Aspekty środowiskowe a ich wpływ na środowisko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Cykl życia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Ocena aspektów środowiskowych w nawiązaniu do wymagań prawnych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10:45 – 12:15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Aspekty środowiskowe a: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gospodarowanie odpadami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nadzór nad gospodarką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wodno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ściekową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ochrona powietrza przed emisjami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ochrona przed hałasem 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12:30 – 14:00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Gotowość i reagowanie na awarie: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poważna awaria – ogólne założenia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obowiązki powiadamiania o wystąpieniu awarii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obowiązki prewencyjne prowadzącego zakład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program zapobiegania awariom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system zarządzania bezpieczeństwem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raport o bezpieczeństwie</w:t>
            </w:r>
          </w:p>
          <w:p w:rsidR="001F4C9D" w:rsidRPr="001F4C9D" w:rsidRDefault="001F4C9D" w:rsidP="005F256D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wewnętrzny i zewnętrzny plan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operacyjno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- ratowniczy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14:30 – 16:00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95" w:type="dxa"/>
          </w:tcPr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Identyfikacja wymagań i ocena zgodności: 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obowiązek wykonywania pomiarów środowiskowych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obciążenia finansowe – podatki i opłaty ekologiczne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zarządzanie chemikaliami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wymagania wobec przedsiębiorcy wystawiającego dokumenty DPO, DPR</w:t>
            </w:r>
          </w:p>
          <w:p w:rsidR="001F4C9D" w:rsidRPr="001F4C9D" w:rsidRDefault="001F4C9D" w:rsidP="005F256D">
            <w:pPr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przetwarzanie oraz organizacja odzysku sprzętu elektrycznego i elektronicznego</w:t>
            </w:r>
          </w:p>
          <w:p w:rsidR="001F4C9D" w:rsidRPr="001F4C9D" w:rsidRDefault="001F4C9D" w:rsidP="005F256D">
            <w:pPr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cstheme="minorHAnsi"/>
                <w:sz w:val="18"/>
                <w:szCs w:val="18"/>
              </w:rPr>
              <w:t>Mierniki systemu zarządzania środowiskowego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Rekapitulacja, dotycząca zagadnień prawnych, związanych z SZŚ </w:t>
            </w:r>
          </w:p>
        </w:tc>
      </w:tr>
    </w:tbl>
    <w:p w:rsidR="001F4C9D" w:rsidRPr="001F4C9D" w:rsidRDefault="001F4C9D" w:rsidP="001F4C9D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6969"/>
      </w:tblGrid>
      <w:tr w:rsidR="001F4C9D" w:rsidRPr="001F4C9D" w:rsidTr="001F4C9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DZIEŃ 4 </w:t>
            </w:r>
          </w:p>
        </w:tc>
        <w:tc>
          <w:tcPr>
            <w:tcW w:w="6969" w:type="dxa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4C9D" w:rsidRPr="001F4C9D" w:rsidTr="001F4C9D">
        <w:tc>
          <w:tcPr>
            <w:tcW w:w="817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godziny</w:t>
            </w:r>
          </w:p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od – do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Ilość godzin wykładowych</w:t>
            </w:r>
          </w:p>
        </w:tc>
        <w:tc>
          <w:tcPr>
            <w:tcW w:w="6969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zakres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9:00 – 9:45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69" w:type="dxa"/>
          </w:tcPr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Rekapitulacja wymagań normy ISO 14001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Problematyka certyfikacji / akredytacji (dyskusja) 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Proces oceny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9:45 – 10:30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69" w:type="dxa"/>
          </w:tcPr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Ocena wykonalności </w:t>
            </w:r>
            <w:proofErr w:type="spellStart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auditu</w:t>
            </w:r>
            <w:proofErr w:type="spellEnd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Ćwiczenie w ramach oceny ciągłej: przegląd dokumentacji w SZŚ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Wprowadzenie do czynności </w:t>
            </w:r>
            <w:proofErr w:type="spellStart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auditowania</w:t>
            </w:r>
            <w:proofErr w:type="spellEnd"/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10:45 – 11:30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69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Planowanie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auditu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Planowanie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auditu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u klienta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Akcje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auditowe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11:30 – 13:00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69" w:type="dxa"/>
          </w:tcPr>
          <w:p w:rsidR="001F4C9D" w:rsidRPr="001F4C9D" w:rsidRDefault="001F4C9D" w:rsidP="005F256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Spotkanie otwierające – składowe </w:t>
            </w:r>
          </w:p>
          <w:p w:rsidR="001F4C9D" w:rsidRPr="001F4C9D" w:rsidRDefault="001F4C9D" w:rsidP="005F256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Symulacja spotkania otwierającego – ćwiczenie 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13:30 – 15:00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69" w:type="dxa"/>
          </w:tcPr>
          <w:p w:rsidR="001F4C9D" w:rsidRPr="001F4C9D" w:rsidRDefault="001F4C9D" w:rsidP="005F256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Pytania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auditowe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1F4C9D" w:rsidRPr="001F4C9D" w:rsidRDefault="001F4C9D" w:rsidP="005F256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Ćwiczenie w ramach oceny ciągłej: budowa listy pytań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auditowych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wyższego rzędu </w:t>
            </w:r>
          </w:p>
          <w:p w:rsidR="001F4C9D" w:rsidRPr="001F4C9D" w:rsidRDefault="001F4C9D" w:rsidP="005F256D">
            <w:pPr>
              <w:suppressAutoHyphens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Prezentacja wyników + dyskusja nt. możliwych do pozyskania dowodów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15:15 – 16:00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69" w:type="dxa"/>
          </w:tcPr>
          <w:p w:rsidR="001F4C9D" w:rsidRPr="001F4C9D" w:rsidRDefault="001F4C9D" w:rsidP="005F256D">
            <w:pPr>
              <w:suppressAutoHyphens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Ćwiczenie w ramach oceny ciągłej: diagnozowanie stopnia zgodności w oparciu o obiektywne dowody  </w:t>
            </w:r>
          </w:p>
        </w:tc>
      </w:tr>
    </w:tbl>
    <w:p w:rsidR="001F4C9D" w:rsidRPr="001F4C9D" w:rsidRDefault="001F4C9D" w:rsidP="001F4C9D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347"/>
        <w:gridCol w:w="6970"/>
      </w:tblGrid>
      <w:tr w:rsidR="001F4C9D" w:rsidRPr="001F4C9D" w:rsidTr="001F4C9D"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DZIEŃ 5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4C9D" w:rsidRPr="001F4C9D" w:rsidTr="001F4C9D">
        <w:tc>
          <w:tcPr>
            <w:tcW w:w="817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godziny</w:t>
            </w:r>
          </w:p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od – do</w:t>
            </w:r>
          </w:p>
        </w:tc>
        <w:tc>
          <w:tcPr>
            <w:tcW w:w="1347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Ilość godzin wykładowych</w:t>
            </w:r>
          </w:p>
        </w:tc>
        <w:tc>
          <w:tcPr>
            <w:tcW w:w="6970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zakres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9:00 – 10:30</w:t>
            </w:r>
          </w:p>
        </w:tc>
        <w:tc>
          <w:tcPr>
            <w:tcW w:w="1347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70" w:type="dxa"/>
          </w:tcPr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Ćwiczenie w ramach oceny ciągłej: Działania </w:t>
            </w:r>
            <w:proofErr w:type="spellStart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auditowe</w:t>
            </w:r>
            <w:proofErr w:type="spellEnd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 na miejscu 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Aktywne słuchanie 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Gromadzenie dowodów </w:t>
            </w:r>
            <w:proofErr w:type="spellStart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auditowych</w:t>
            </w:r>
            <w:proofErr w:type="spellEnd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Współpraca w zespole audytorskim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Współpraca z audytowanym na rzecz wyników </w:t>
            </w:r>
            <w:proofErr w:type="spellStart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auditu</w:t>
            </w:r>
            <w:proofErr w:type="spellEnd"/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10:45 – 11:30 </w:t>
            </w:r>
          </w:p>
        </w:tc>
        <w:tc>
          <w:tcPr>
            <w:tcW w:w="1347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70" w:type="dxa"/>
          </w:tcPr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Prezentacja wyników </w:t>
            </w:r>
            <w:proofErr w:type="spellStart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auditu</w:t>
            </w:r>
            <w:proofErr w:type="spellEnd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Spotkanie zamykające </w:t>
            </w:r>
            <w:proofErr w:type="spellStart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audit</w:t>
            </w:r>
            <w:proofErr w:type="spellEnd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11:30 – 12:15 </w:t>
            </w:r>
          </w:p>
        </w:tc>
        <w:tc>
          <w:tcPr>
            <w:tcW w:w="1347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70" w:type="dxa"/>
          </w:tcPr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Raportowanie wyników </w:t>
            </w:r>
            <w:proofErr w:type="spellStart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auditu</w:t>
            </w:r>
            <w:proofErr w:type="spellEnd"/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Ćwiczenie w ramach oceny ciągłej: Raport z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auditu</w:t>
            </w:r>
            <w:proofErr w:type="spellEnd"/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12:15 – 13:00</w:t>
            </w:r>
          </w:p>
        </w:tc>
        <w:tc>
          <w:tcPr>
            <w:tcW w:w="1347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  </w:t>
            </w:r>
          </w:p>
        </w:tc>
        <w:tc>
          <w:tcPr>
            <w:tcW w:w="6970" w:type="dxa"/>
          </w:tcPr>
          <w:p w:rsidR="001F4C9D" w:rsidRPr="001F4C9D" w:rsidRDefault="001F4C9D" w:rsidP="005F256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Niezgodności vs rekomendacje </w:t>
            </w:r>
          </w:p>
          <w:p w:rsidR="001F4C9D" w:rsidRPr="001F4C9D" w:rsidRDefault="001F4C9D" w:rsidP="005F256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Działania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poauditowe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i ocena ich skuteczności</w:t>
            </w:r>
          </w:p>
        </w:tc>
      </w:tr>
      <w:tr w:rsidR="00974C67" w:rsidRPr="001F4C9D" w:rsidTr="001F4C9D">
        <w:tc>
          <w:tcPr>
            <w:tcW w:w="817" w:type="dxa"/>
          </w:tcPr>
          <w:p w:rsidR="00974C67" w:rsidRPr="001F4C9D" w:rsidRDefault="00974C67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13:30 – 14:00</w:t>
            </w:r>
          </w:p>
        </w:tc>
        <w:tc>
          <w:tcPr>
            <w:tcW w:w="1347" w:type="dxa"/>
          </w:tcPr>
          <w:p w:rsidR="00974C67" w:rsidRPr="001F4C9D" w:rsidRDefault="00974C67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70" w:type="dxa"/>
          </w:tcPr>
          <w:p w:rsidR="00974C67" w:rsidRPr="001F4C9D" w:rsidRDefault="00974C67" w:rsidP="005F256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Dyskusja i podsumowanie wyników w ramach systemu oceny ciągłej  - Wprowadzenie do egzaminu końcowego</w:t>
            </w:r>
          </w:p>
        </w:tc>
      </w:tr>
      <w:tr w:rsidR="00974C67" w:rsidRPr="001F4C9D" w:rsidTr="001F4C9D">
        <w:tc>
          <w:tcPr>
            <w:tcW w:w="817" w:type="dxa"/>
          </w:tcPr>
          <w:p w:rsidR="00974C67" w:rsidRPr="001F4C9D" w:rsidRDefault="00974C67" w:rsidP="00974C67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14:15 – </w:t>
            </w:r>
          </w:p>
          <w:p w:rsidR="00974C67" w:rsidRPr="001F4C9D" w:rsidRDefault="00974C67" w:rsidP="00974C67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1347" w:type="dxa"/>
          </w:tcPr>
          <w:p w:rsidR="00974C67" w:rsidRPr="001F4C9D" w:rsidRDefault="00974C67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70" w:type="dxa"/>
          </w:tcPr>
          <w:p w:rsidR="00974C67" w:rsidRPr="001F4C9D" w:rsidRDefault="00974C67" w:rsidP="005F256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Egzamin</w:t>
            </w:r>
          </w:p>
        </w:tc>
      </w:tr>
    </w:tbl>
    <w:p w:rsidR="001F4C9D" w:rsidRDefault="001F4C9D" w:rsidP="001F4C9D"/>
    <w:p w:rsidR="001F4C9D" w:rsidRDefault="001F4C9D" w:rsidP="001F4C9D"/>
    <w:p w:rsidR="00640A87" w:rsidRPr="00B87B0F" w:rsidRDefault="00640A87" w:rsidP="003E3A7C">
      <w:pPr>
        <w:rPr>
          <w:rFonts w:eastAsia="Times New Roman" w:cstheme="minorHAnsi"/>
          <w:lang w:eastAsia="pl-PL"/>
        </w:rPr>
      </w:pPr>
    </w:p>
    <w:p w:rsidR="00587708" w:rsidRPr="00750781" w:rsidRDefault="003E3A7C">
      <w:pPr>
        <w:rPr>
          <w:rFonts w:cstheme="minorHAnsi"/>
          <w:b/>
          <w:bCs/>
          <w:color w:val="595959"/>
          <w:lang w:eastAsia="pl-PL"/>
        </w:rPr>
      </w:pPr>
      <w:r w:rsidRPr="00750781">
        <w:rPr>
          <w:rFonts w:cstheme="minorHAnsi"/>
        </w:rPr>
        <w:t xml:space="preserve">Kontakt: </w:t>
      </w:r>
      <w:r w:rsidRPr="00750781">
        <w:rPr>
          <w:rFonts w:cstheme="minorHAnsi"/>
          <w:b/>
          <w:bCs/>
          <w:lang w:eastAsia="pl-PL"/>
        </w:rPr>
        <w:t>Karolina Ślusarek</w:t>
      </w:r>
      <w:r w:rsidR="00587708" w:rsidRPr="00750781">
        <w:rPr>
          <w:rFonts w:cstheme="minorHAnsi"/>
        </w:rPr>
        <w:t xml:space="preserve">    </w:t>
      </w:r>
      <w:proofErr w:type="spellStart"/>
      <w:r w:rsidRPr="00750781">
        <w:rPr>
          <w:rFonts w:cstheme="minorHAnsi"/>
          <w:b/>
          <w:bCs/>
          <w:lang w:eastAsia="pl-PL"/>
        </w:rPr>
        <w:t>tel</w:t>
      </w:r>
      <w:proofErr w:type="spellEnd"/>
      <w:r w:rsidRPr="00750781">
        <w:rPr>
          <w:rFonts w:cstheme="minorHAnsi"/>
          <w:b/>
          <w:bCs/>
          <w:lang w:eastAsia="pl-PL"/>
        </w:rPr>
        <w:t>: 518 457</w:t>
      </w:r>
      <w:r w:rsidR="00587708" w:rsidRPr="00750781">
        <w:rPr>
          <w:rFonts w:cstheme="minorHAnsi"/>
          <w:b/>
          <w:bCs/>
          <w:lang w:eastAsia="pl-PL"/>
        </w:rPr>
        <w:t> </w:t>
      </w:r>
      <w:r w:rsidRPr="00750781">
        <w:rPr>
          <w:rFonts w:cstheme="minorHAnsi"/>
          <w:b/>
          <w:bCs/>
          <w:lang w:eastAsia="pl-PL"/>
        </w:rPr>
        <w:t>315</w:t>
      </w:r>
      <w:r w:rsidR="00587708" w:rsidRPr="00750781">
        <w:rPr>
          <w:rFonts w:cstheme="minorHAnsi"/>
        </w:rPr>
        <w:t xml:space="preserve">     </w:t>
      </w:r>
    </w:p>
    <w:p w:rsidR="00587708" w:rsidRPr="00041B98" w:rsidRDefault="00587708">
      <w:pPr>
        <w:rPr>
          <w:rFonts w:cstheme="minorHAnsi"/>
          <w:bCs/>
          <w:lang w:eastAsia="pl-PL"/>
        </w:rPr>
      </w:pPr>
      <w:r w:rsidRPr="00750781">
        <w:rPr>
          <w:rFonts w:cstheme="minorHAnsi"/>
          <w:bCs/>
          <w:lang w:eastAsia="pl-PL"/>
        </w:rPr>
        <w:t xml:space="preserve">Karty zgłoszeniowe, proszę przesyłać na adres: </w:t>
      </w:r>
      <w:hyperlink r:id="rId7" w:history="1">
        <w:r w:rsidRPr="00750781">
          <w:rPr>
            <w:rStyle w:val="Hipercze"/>
            <w:rFonts w:cstheme="minorHAnsi"/>
            <w:bCs/>
            <w:lang w:eastAsia="pl-PL"/>
          </w:rPr>
          <w:t>k.slusarek@isocert.pl</w:t>
        </w:r>
      </w:hyperlink>
      <w:r w:rsidRPr="00750781">
        <w:rPr>
          <w:rFonts w:cstheme="minorHAnsi"/>
          <w:bCs/>
          <w:lang w:eastAsia="pl-PL"/>
        </w:rPr>
        <w:t xml:space="preserve"> </w:t>
      </w:r>
    </w:p>
    <w:sectPr w:rsidR="00587708" w:rsidRPr="0004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13A"/>
    <w:multiLevelType w:val="multilevel"/>
    <w:tmpl w:val="2EB0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D2290"/>
    <w:multiLevelType w:val="multilevel"/>
    <w:tmpl w:val="519E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34F5C"/>
    <w:multiLevelType w:val="multilevel"/>
    <w:tmpl w:val="80F221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5E36595"/>
    <w:multiLevelType w:val="hybridMultilevel"/>
    <w:tmpl w:val="0CD0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60C"/>
    <w:multiLevelType w:val="hybridMultilevel"/>
    <w:tmpl w:val="4CBADB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807AE4"/>
    <w:multiLevelType w:val="multilevel"/>
    <w:tmpl w:val="AFC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D2152"/>
    <w:multiLevelType w:val="hybridMultilevel"/>
    <w:tmpl w:val="0BF64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D39FC"/>
    <w:multiLevelType w:val="multilevel"/>
    <w:tmpl w:val="960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B0241"/>
    <w:multiLevelType w:val="hybridMultilevel"/>
    <w:tmpl w:val="5B006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71399"/>
    <w:multiLevelType w:val="multilevel"/>
    <w:tmpl w:val="F80E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36586"/>
    <w:multiLevelType w:val="multilevel"/>
    <w:tmpl w:val="32F6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705D7"/>
    <w:multiLevelType w:val="multilevel"/>
    <w:tmpl w:val="5FFE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F362A"/>
    <w:multiLevelType w:val="multilevel"/>
    <w:tmpl w:val="3F3AE3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FF0755"/>
    <w:multiLevelType w:val="multilevel"/>
    <w:tmpl w:val="FAA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434693"/>
    <w:multiLevelType w:val="multilevel"/>
    <w:tmpl w:val="7A929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552B9"/>
    <w:multiLevelType w:val="hybridMultilevel"/>
    <w:tmpl w:val="A1049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0440B"/>
    <w:multiLevelType w:val="hybridMultilevel"/>
    <w:tmpl w:val="5F628C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15E6F"/>
    <w:multiLevelType w:val="hybridMultilevel"/>
    <w:tmpl w:val="551C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E0DDF"/>
    <w:multiLevelType w:val="hybridMultilevel"/>
    <w:tmpl w:val="990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F680C"/>
    <w:multiLevelType w:val="multilevel"/>
    <w:tmpl w:val="AC2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5"/>
  </w:num>
  <w:num w:numId="8">
    <w:abstractNumId w:val="16"/>
  </w:num>
  <w:num w:numId="9">
    <w:abstractNumId w:val="8"/>
  </w:num>
  <w:num w:numId="10">
    <w:abstractNumId w:val="11"/>
  </w:num>
  <w:num w:numId="11">
    <w:abstractNumId w:val="19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  <w:num w:numId="16">
    <w:abstractNumId w:val="14"/>
  </w:num>
  <w:num w:numId="17">
    <w:abstractNumId w:val="10"/>
  </w:num>
  <w:num w:numId="18">
    <w:abstractNumId w:val="12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41"/>
    <w:rsid w:val="00041B98"/>
    <w:rsid w:val="00056BA2"/>
    <w:rsid w:val="000938D6"/>
    <w:rsid w:val="000B777B"/>
    <w:rsid w:val="000C0CB4"/>
    <w:rsid w:val="00154D1A"/>
    <w:rsid w:val="001E03A3"/>
    <w:rsid w:val="001F4C9D"/>
    <w:rsid w:val="00237345"/>
    <w:rsid w:val="00237AA5"/>
    <w:rsid w:val="00271C56"/>
    <w:rsid w:val="00275AAE"/>
    <w:rsid w:val="002776EE"/>
    <w:rsid w:val="003322EE"/>
    <w:rsid w:val="003A4488"/>
    <w:rsid w:val="003D0903"/>
    <w:rsid w:val="003E3A7C"/>
    <w:rsid w:val="00417730"/>
    <w:rsid w:val="00485298"/>
    <w:rsid w:val="004D30FA"/>
    <w:rsid w:val="0052570C"/>
    <w:rsid w:val="005711BF"/>
    <w:rsid w:val="00580D56"/>
    <w:rsid w:val="00587708"/>
    <w:rsid w:val="00605643"/>
    <w:rsid w:val="00640A87"/>
    <w:rsid w:val="006C4617"/>
    <w:rsid w:val="006E2F41"/>
    <w:rsid w:val="006F10F2"/>
    <w:rsid w:val="00711A52"/>
    <w:rsid w:val="00750781"/>
    <w:rsid w:val="007F0480"/>
    <w:rsid w:val="00800D44"/>
    <w:rsid w:val="008F2CD4"/>
    <w:rsid w:val="00974C67"/>
    <w:rsid w:val="009C4973"/>
    <w:rsid w:val="00A24185"/>
    <w:rsid w:val="00A507B5"/>
    <w:rsid w:val="00AF1BD9"/>
    <w:rsid w:val="00B12B5E"/>
    <w:rsid w:val="00B87B0F"/>
    <w:rsid w:val="00B9305D"/>
    <w:rsid w:val="00BA4F62"/>
    <w:rsid w:val="00BE5C6C"/>
    <w:rsid w:val="00C00396"/>
    <w:rsid w:val="00C04A28"/>
    <w:rsid w:val="00C92D09"/>
    <w:rsid w:val="00CB1A35"/>
    <w:rsid w:val="00D64192"/>
    <w:rsid w:val="00D84365"/>
    <w:rsid w:val="00DD2295"/>
    <w:rsid w:val="00E5208A"/>
    <w:rsid w:val="00EE0F48"/>
    <w:rsid w:val="00F45A7F"/>
    <w:rsid w:val="00F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A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3A7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A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3A7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slusarek@isoce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Karolina Ślusarek</cp:lastModifiedBy>
  <cp:revision>2</cp:revision>
  <cp:lastPrinted>2022-11-30T10:49:00Z</cp:lastPrinted>
  <dcterms:created xsi:type="dcterms:W3CDTF">2024-04-16T13:31:00Z</dcterms:created>
  <dcterms:modified xsi:type="dcterms:W3CDTF">2024-04-16T13:31:00Z</dcterms:modified>
</cp:coreProperties>
</file>